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9B3E1" w14:textId="77777777" w:rsidR="005A2387" w:rsidRDefault="005A2387" w:rsidP="007255E6">
      <w:pPr>
        <w:spacing w:after="120"/>
        <w:jc w:val="center"/>
        <w:rPr>
          <w:b/>
          <w:sz w:val="28"/>
        </w:rPr>
      </w:pPr>
    </w:p>
    <w:p w14:paraId="22966A80" w14:textId="77777777" w:rsidR="00CE18EF" w:rsidRDefault="007255E6" w:rsidP="005A2387">
      <w:pPr>
        <w:spacing w:after="120"/>
        <w:jc w:val="center"/>
        <w:rPr>
          <w:b/>
          <w:sz w:val="28"/>
        </w:rPr>
      </w:pPr>
      <w:r w:rsidRPr="007255E6">
        <w:rPr>
          <w:b/>
          <w:sz w:val="28"/>
        </w:rPr>
        <w:t>Consultation Agreement</w:t>
      </w:r>
    </w:p>
    <w:p w14:paraId="7F8066F8" w14:textId="77777777" w:rsidR="007255E6" w:rsidRPr="00EE3D5E" w:rsidRDefault="007255E6" w:rsidP="007255E6">
      <w:pPr>
        <w:spacing w:after="120"/>
        <w:jc w:val="center"/>
        <w:rPr>
          <w:b/>
          <w:sz w:val="16"/>
          <w:szCs w:val="16"/>
        </w:rPr>
      </w:pPr>
    </w:p>
    <w:p w14:paraId="7BFB3A51" w14:textId="77777777" w:rsidR="007255E6" w:rsidRPr="007255E6" w:rsidRDefault="007255E6" w:rsidP="007255E6">
      <w:pPr>
        <w:spacing w:after="120"/>
        <w:rPr>
          <w:b/>
        </w:rPr>
      </w:pPr>
      <w:r w:rsidRPr="007255E6">
        <w:rPr>
          <w:b/>
        </w:rPr>
        <w:t>Nature of Work Performed by Practitioner:</w:t>
      </w:r>
    </w:p>
    <w:p w14:paraId="6FF929F0" w14:textId="74111066" w:rsidR="007255E6" w:rsidRDefault="007255E6" w:rsidP="007255E6">
      <w:pPr>
        <w:spacing w:after="120"/>
      </w:pPr>
      <w:r w:rsidRPr="007255E6">
        <w:t>I understand that my practitioner</w:t>
      </w:r>
      <w:r w:rsidR="00CE18EF">
        <w:t>, Gail Wilson,</w:t>
      </w:r>
      <w:r w:rsidRPr="007255E6">
        <w:t xml:space="preserve"> evaluates my entire condition</w:t>
      </w:r>
      <w:r w:rsidR="005E61B0">
        <w:t xml:space="preserve">, or </w:t>
      </w:r>
      <w:r w:rsidR="00670A88">
        <w:t>dependent</w:t>
      </w:r>
      <w:r w:rsidR="005E61B0">
        <w:t xml:space="preserve"> family member</w:t>
      </w:r>
      <w:r w:rsidR="00670A88">
        <w:t>’</w:t>
      </w:r>
      <w:r w:rsidR="005E61B0">
        <w:t>s</w:t>
      </w:r>
      <w:r w:rsidR="00670A88">
        <w:t xml:space="preserve"> condition</w:t>
      </w:r>
      <w:r w:rsidR="005E61B0">
        <w:t>,</w:t>
      </w:r>
      <w:r w:rsidRPr="007255E6">
        <w:t xml:space="preserve"> based on a holistic, homeopathic approach, and seeks to assist me</w:t>
      </w:r>
      <w:r w:rsidR="005E61B0">
        <w:t xml:space="preserve"> </w:t>
      </w:r>
      <w:r w:rsidRPr="007255E6">
        <w:t xml:space="preserve">to stimulate </w:t>
      </w:r>
      <w:r w:rsidR="005E61B0">
        <w:t>the</w:t>
      </w:r>
      <w:r w:rsidRPr="007255E6">
        <w:t xml:space="preserve"> body's own healing mechanisms with the use of substances prepared</w:t>
      </w:r>
      <w:r>
        <w:t xml:space="preserve"> </w:t>
      </w:r>
      <w:r w:rsidR="00A35C56" w:rsidRPr="007255E6">
        <w:t>per</w:t>
      </w:r>
      <w:r w:rsidRPr="007255E6">
        <w:t xml:space="preserve"> the guidelines of the Homeopathic Pharmacopoeia of the U.S, as regulated by the FDA. </w:t>
      </w:r>
    </w:p>
    <w:p w14:paraId="44CAC769" w14:textId="77777777" w:rsidR="007255E6" w:rsidRDefault="007255E6" w:rsidP="007255E6">
      <w:pPr>
        <w:spacing w:after="120"/>
      </w:pPr>
      <w:r w:rsidRPr="007255E6">
        <w:t>I</w:t>
      </w:r>
      <w:r>
        <w:t xml:space="preserve"> </w:t>
      </w:r>
      <w:r w:rsidRPr="007255E6">
        <w:t xml:space="preserve">understand that </w:t>
      </w:r>
      <w:r w:rsidR="00CE18EF">
        <w:t>Gail Wilson</w:t>
      </w:r>
      <w:r w:rsidRPr="007255E6">
        <w:t xml:space="preserve"> may also discuss with me the use of other integrative therapeutics to improve my</w:t>
      </w:r>
      <w:r>
        <w:t xml:space="preserve"> </w:t>
      </w:r>
      <w:r w:rsidRPr="007255E6">
        <w:t xml:space="preserve">health, and that these are within her scope of practice to the extent that she incorporates them. </w:t>
      </w:r>
    </w:p>
    <w:p w14:paraId="3250DE4A" w14:textId="77777777" w:rsidR="007255E6" w:rsidRPr="007255E6" w:rsidRDefault="007255E6" w:rsidP="007255E6">
      <w:pPr>
        <w:spacing w:after="120"/>
      </w:pPr>
      <w:r w:rsidRPr="007255E6">
        <w:t>I agree that I am</w:t>
      </w:r>
      <w:r>
        <w:t xml:space="preserve"> </w:t>
      </w:r>
      <w:r w:rsidRPr="007255E6">
        <w:t xml:space="preserve">interested in enhancing my own abilities to establish health in mind and body. </w:t>
      </w:r>
    </w:p>
    <w:p w14:paraId="636C79DF" w14:textId="77777777" w:rsidR="007255E6" w:rsidRPr="007255E6" w:rsidRDefault="007255E6" w:rsidP="007255E6">
      <w:pPr>
        <w:spacing w:after="120"/>
        <w:rPr>
          <w:b/>
        </w:rPr>
      </w:pPr>
      <w:r w:rsidRPr="007255E6">
        <w:rPr>
          <w:b/>
        </w:rPr>
        <w:t>Training and Credentials of Practitioner:</w:t>
      </w:r>
    </w:p>
    <w:p w14:paraId="538C5AAB" w14:textId="77777777" w:rsidR="007255E6" w:rsidRPr="007255E6" w:rsidRDefault="007255E6" w:rsidP="007255E6">
      <w:pPr>
        <w:spacing w:after="120"/>
      </w:pPr>
      <w:r w:rsidRPr="007255E6">
        <w:t>I have reviewed the training and crede</w:t>
      </w:r>
      <w:r w:rsidR="00CE18EF">
        <w:t>ntials of Gail Wilson,</w:t>
      </w:r>
      <w:r w:rsidRPr="007255E6">
        <w:t xml:space="preserve"> listed below. I understand that </w:t>
      </w:r>
      <w:r w:rsidR="00CE18EF">
        <w:t>she</w:t>
      </w:r>
      <w:r w:rsidRPr="007255E6">
        <w:t xml:space="preserve"> is</w:t>
      </w:r>
      <w:r>
        <w:t xml:space="preserve"> </w:t>
      </w:r>
      <w:r w:rsidRPr="007255E6">
        <w:t>not a medical doctor, has not presented herself as such, and does not seek to diagnose, treat, or prescribe for</w:t>
      </w:r>
      <w:r>
        <w:t xml:space="preserve"> </w:t>
      </w:r>
      <w:r w:rsidRPr="007255E6">
        <w:t>disease</w:t>
      </w:r>
      <w:r w:rsidR="00CE18EF">
        <w:t>s</w:t>
      </w:r>
      <w:r w:rsidRPr="007255E6">
        <w:t>, disorder</w:t>
      </w:r>
      <w:r w:rsidR="00CE18EF">
        <w:t>s,</w:t>
      </w:r>
      <w:r w:rsidRPr="007255E6">
        <w:t xml:space="preserve"> or other pathological conditions, and that she provides health consultation services under the</w:t>
      </w:r>
      <w:r>
        <w:t xml:space="preserve"> </w:t>
      </w:r>
      <w:r w:rsidRPr="007255E6">
        <w:t xml:space="preserve">California Business and Professions Code sections 2053.5 - 6. </w:t>
      </w:r>
    </w:p>
    <w:p w14:paraId="4A7F3939" w14:textId="77777777" w:rsidR="007255E6" w:rsidRPr="007255E6" w:rsidRDefault="007255E6" w:rsidP="007255E6">
      <w:pPr>
        <w:spacing w:after="120"/>
        <w:rPr>
          <w:b/>
        </w:rPr>
      </w:pPr>
      <w:r w:rsidRPr="007255E6">
        <w:rPr>
          <w:b/>
        </w:rPr>
        <w:t xml:space="preserve">Gail Wilson, </w:t>
      </w:r>
      <w:proofErr w:type="spellStart"/>
      <w:r w:rsidRPr="007255E6">
        <w:rPr>
          <w:b/>
        </w:rPr>
        <w:t>CFHom</w:t>
      </w:r>
      <w:proofErr w:type="spellEnd"/>
      <w:r w:rsidRPr="007255E6">
        <w:rPr>
          <w:b/>
        </w:rPr>
        <w:t>:</w:t>
      </w:r>
    </w:p>
    <w:p w14:paraId="0DC31727" w14:textId="295E228D" w:rsidR="007255E6" w:rsidRDefault="007255E6" w:rsidP="007255E6">
      <w:pPr>
        <w:spacing w:after="120"/>
      </w:pPr>
      <w:r>
        <w:t xml:space="preserve">Gail Wilson attended San Francisco State University where she received a Bachelor of Arts degree in 1971. She completed a 2-year Foundations in Homeopathy course of study at The Caduceus Institute of Classical Homeopathy in Santa Cruz, California. </w:t>
      </w:r>
      <w:r w:rsidR="00AB7FBE">
        <w:t>Gail</w:t>
      </w:r>
      <w:r>
        <w:t xml:space="preserve"> is also</w:t>
      </w:r>
      <w:r w:rsidR="00CE18EF">
        <w:t xml:space="preserve"> a certifi</w:t>
      </w:r>
      <w:r w:rsidR="003137A8">
        <w:t>ed CEASE practitioner, and candidate for Certified Classical Homeopath (CCH) by the National Certification Board.</w:t>
      </w:r>
    </w:p>
    <w:p w14:paraId="105BE5AC" w14:textId="77777777" w:rsidR="007255E6" w:rsidRPr="007255E6" w:rsidRDefault="007255E6" w:rsidP="007255E6">
      <w:pPr>
        <w:spacing w:after="120"/>
        <w:rPr>
          <w:b/>
        </w:rPr>
      </w:pPr>
      <w:r w:rsidRPr="007255E6">
        <w:rPr>
          <w:b/>
        </w:rPr>
        <w:t>Cost of Consultation:</w:t>
      </w:r>
    </w:p>
    <w:p w14:paraId="3086BB4C" w14:textId="77777777" w:rsidR="007255E6" w:rsidRPr="007255E6" w:rsidRDefault="007255E6" w:rsidP="007255E6">
      <w:pPr>
        <w:spacing w:after="120"/>
      </w:pPr>
      <w:r w:rsidRPr="007255E6">
        <w:t>I have reviewed the fee statement below. I agree to the policies and charges as described in the fee</w:t>
      </w:r>
      <w:r>
        <w:t xml:space="preserve"> </w:t>
      </w:r>
      <w:r w:rsidRPr="007255E6">
        <w:t>statement.</w:t>
      </w:r>
    </w:p>
    <w:p w14:paraId="3BCC14D9" w14:textId="77777777" w:rsidR="007255E6" w:rsidRPr="007255E6" w:rsidRDefault="007255E6" w:rsidP="007255E6">
      <w:pPr>
        <w:spacing w:after="120"/>
        <w:rPr>
          <w:b/>
        </w:rPr>
      </w:pPr>
      <w:r w:rsidRPr="007255E6">
        <w:rPr>
          <w:b/>
        </w:rPr>
        <w:t>Professional Conduct and Consultation:</w:t>
      </w:r>
    </w:p>
    <w:p w14:paraId="1F489230" w14:textId="77777777" w:rsidR="007255E6" w:rsidRPr="007255E6" w:rsidRDefault="007255E6" w:rsidP="00670A88">
      <w:pPr>
        <w:spacing w:after="120"/>
      </w:pPr>
      <w:r w:rsidRPr="007255E6">
        <w:t>Practitioner agrees to honor confidentiality and assures professional conduct as defined by the Code of Ethics of</w:t>
      </w:r>
      <w:r>
        <w:t xml:space="preserve"> </w:t>
      </w:r>
      <w:r w:rsidRPr="007255E6">
        <w:t>the Council</w:t>
      </w:r>
      <w:r>
        <w:t xml:space="preserve"> for Homeopathic Certification</w:t>
      </w:r>
      <w:r w:rsidR="00670A88">
        <w:t xml:space="preserve">; client grants permission for practitioner to discuss details of </w:t>
      </w:r>
      <w:r w:rsidR="00F06CDE">
        <w:t>client’s health or</w:t>
      </w:r>
      <w:r w:rsidR="00670A88">
        <w:t xml:space="preserve"> dependent family member’s health, in conferral with colleagues and other practitioners with whom client consults</w:t>
      </w:r>
      <w:r w:rsidR="00F06CDE">
        <w:t>,</w:t>
      </w:r>
      <w:r w:rsidR="00670A88">
        <w:t xml:space="preserve"> without an additional confidentiality waiver</w:t>
      </w:r>
      <w:r>
        <w:t xml:space="preserve">. </w:t>
      </w:r>
      <w:r w:rsidRPr="007255E6">
        <w:t>This agreement becomes part of client's case records. Client agrees to consult a licensed</w:t>
      </w:r>
      <w:r>
        <w:t xml:space="preserve"> </w:t>
      </w:r>
      <w:r w:rsidRPr="007255E6">
        <w:t>physician for any medical c</w:t>
      </w:r>
      <w:r>
        <w:t xml:space="preserve">oncern that now exists or </w:t>
      </w:r>
      <w:r w:rsidR="00CE18EF">
        <w:t xml:space="preserve">that </w:t>
      </w:r>
      <w:r>
        <w:t>arises</w:t>
      </w:r>
      <w:r w:rsidRPr="007255E6">
        <w:t xml:space="preserve"> at any time during the term of this agreement, and to</w:t>
      </w:r>
      <w:r>
        <w:t xml:space="preserve"> </w:t>
      </w:r>
      <w:r w:rsidRPr="007255E6">
        <w:t xml:space="preserve">inform </w:t>
      </w:r>
      <w:r w:rsidR="006C369D">
        <w:t>practitioner</w:t>
      </w:r>
      <w:r w:rsidRPr="007255E6">
        <w:t xml:space="preserve"> of </w:t>
      </w:r>
      <w:r w:rsidR="00CE18EF">
        <w:t>the p</w:t>
      </w:r>
      <w:r w:rsidRPr="007255E6">
        <w:t xml:space="preserve">hysician's assessment in so far as it applies to </w:t>
      </w:r>
      <w:r w:rsidR="00EE3D5E">
        <w:t>clie</w:t>
      </w:r>
      <w:r w:rsidR="00F06CDE">
        <w:t>nt’s</w:t>
      </w:r>
      <w:r w:rsidR="00670A88">
        <w:t xml:space="preserve"> </w:t>
      </w:r>
      <w:r w:rsidRPr="007255E6">
        <w:t xml:space="preserve">work with </w:t>
      </w:r>
      <w:r w:rsidR="006C369D">
        <w:t>her</w:t>
      </w:r>
      <w:r w:rsidRPr="007255E6">
        <w:t xml:space="preserve">. </w:t>
      </w:r>
    </w:p>
    <w:p w14:paraId="3E1D0E9C" w14:textId="77777777" w:rsidR="00F06CDE" w:rsidRPr="00D674BD" w:rsidRDefault="00F06CDE" w:rsidP="00660438">
      <w:pPr>
        <w:tabs>
          <w:tab w:val="left" w:pos="6750"/>
          <w:tab w:val="left" w:pos="7200"/>
          <w:tab w:val="left" w:pos="8460"/>
        </w:tabs>
        <w:spacing w:after="120"/>
        <w:rPr>
          <w:sz w:val="10"/>
          <w:szCs w:val="10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4055"/>
        <w:gridCol w:w="360"/>
        <w:gridCol w:w="1710"/>
      </w:tblGrid>
      <w:tr w:rsidR="00EE3D5E" w:rsidRPr="00EE3D5E" w14:paraId="0BA06903" w14:textId="77777777" w:rsidTr="00EE3D5E">
        <w:tc>
          <w:tcPr>
            <w:tcW w:w="3253" w:type="dxa"/>
            <w:vAlign w:val="bottom"/>
          </w:tcPr>
          <w:p w14:paraId="7BC641F9" w14:textId="5343D82C" w:rsidR="00EE3D5E" w:rsidRPr="00EE3D5E" w:rsidRDefault="00EE3D5E" w:rsidP="000673D4">
            <w:pPr>
              <w:spacing w:after="120"/>
              <w:rPr>
                <w:u w:val="single"/>
              </w:rPr>
            </w:pPr>
            <w:r w:rsidRPr="00EE3D5E">
              <w:t xml:space="preserve">Client Signature and Date: </w:t>
            </w:r>
          </w:p>
        </w:tc>
        <w:tc>
          <w:tcPr>
            <w:tcW w:w="4055" w:type="dxa"/>
            <w:tcBorders>
              <w:bottom w:val="single" w:sz="6" w:space="0" w:color="auto"/>
            </w:tcBorders>
          </w:tcPr>
          <w:p w14:paraId="7FDDDC59" w14:textId="77777777" w:rsidR="00EE3D5E" w:rsidRPr="00EE3D5E" w:rsidRDefault="00EE3D5E" w:rsidP="000673D4">
            <w:pPr>
              <w:spacing w:after="120"/>
              <w:rPr>
                <w:u w:val="single"/>
              </w:rPr>
            </w:pPr>
          </w:p>
        </w:tc>
        <w:tc>
          <w:tcPr>
            <w:tcW w:w="360" w:type="dxa"/>
          </w:tcPr>
          <w:p w14:paraId="7D5B3BF0" w14:textId="77777777" w:rsidR="00EE3D5E" w:rsidRPr="00EE3D5E" w:rsidRDefault="00EE3D5E" w:rsidP="000673D4">
            <w:pPr>
              <w:spacing w:after="120"/>
              <w:rPr>
                <w:u w:val="single"/>
              </w:rPr>
            </w:pP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14:paraId="30175EE6" w14:textId="77777777" w:rsidR="00EE3D5E" w:rsidRPr="00EE3D5E" w:rsidRDefault="00EE3D5E" w:rsidP="000673D4">
            <w:pPr>
              <w:spacing w:after="120"/>
              <w:rPr>
                <w:u w:val="single"/>
              </w:rPr>
            </w:pPr>
          </w:p>
        </w:tc>
      </w:tr>
      <w:tr w:rsidR="00EE3D5E" w:rsidRPr="00EE3D5E" w14:paraId="268AB14A" w14:textId="77777777" w:rsidTr="00EE3D5E">
        <w:tc>
          <w:tcPr>
            <w:tcW w:w="3253" w:type="dxa"/>
            <w:vAlign w:val="bottom"/>
          </w:tcPr>
          <w:p w14:paraId="6369A374" w14:textId="77777777" w:rsidR="00EE3D5E" w:rsidRPr="00EE3D5E" w:rsidRDefault="00EE3D5E" w:rsidP="000673D4">
            <w:pPr>
              <w:spacing w:after="120"/>
              <w:rPr>
                <w:u w:val="single"/>
              </w:rPr>
            </w:pPr>
            <w:r w:rsidRPr="00EE3D5E">
              <w:t xml:space="preserve">Practitioner Signature and Date: </w:t>
            </w:r>
          </w:p>
        </w:tc>
        <w:tc>
          <w:tcPr>
            <w:tcW w:w="4055" w:type="dxa"/>
            <w:tcBorders>
              <w:top w:val="single" w:sz="6" w:space="0" w:color="auto"/>
              <w:bottom w:val="single" w:sz="6" w:space="0" w:color="auto"/>
            </w:tcBorders>
          </w:tcPr>
          <w:p w14:paraId="66B07287" w14:textId="77777777" w:rsidR="00EE3D5E" w:rsidRPr="00EE3D5E" w:rsidRDefault="00EE3D5E" w:rsidP="000673D4">
            <w:pPr>
              <w:spacing w:after="120"/>
            </w:pPr>
            <w:r w:rsidRPr="00EE3D5E">
              <w:rPr>
                <w:noProof/>
              </w:rPr>
              <w:drawing>
                <wp:inline distT="0" distB="0" distL="0" distR="0" wp14:anchorId="1A099FA8" wp14:editId="173B0060">
                  <wp:extent cx="1371600" cy="45862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il Signa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58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14:paraId="1A2699A2" w14:textId="77777777" w:rsidR="00EE3D5E" w:rsidRPr="00EE3D5E" w:rsidRDefault="00EE3D5E" w:rsidP="000673D4">
            <w:pPr>
              <w:spacing w:after="120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55E0A79A" w14:textId="56F58024" w:rsidR="00886FC3" w:rsidRPr="00886FC3" w:rsidRDefault="00886FC3" w:rsidP="000673D4">
            <w:pPr>
              <w:spacing w:after="120"/>
            </w:pPr>
          </w:p>
        </w:tc>
      </w:tr>
    </w:tbl>
    <w:p w14:paraId="31C01E67" w14:textId="77777777" w:rsidR="007255E6" w:rsidRPr="007255E6" w:rsidRDefault="007255E6" w:rsidP="007255E6">
      <w:pPr>
        <w:spacing w:after="120"/>
      </w:pPr>
    </w:p>
    <w:p w14:paraId="325B29F0" w14:textId="77777777" w:rsidR="0093268B" w:rsidRDefault="0093268B" w:rsidP="0093268B">
      <w:pPr>
        <w:spacing w:after="120"/>
        <w:jc w:val="center"/>
        <w:rPr>
          <w:b/>
        </w:rPr>
      </w:pPr>
    </w:p>
    <w:p w14:paraId="654EA41C" w14:textId="77777777" w:rsidR="00853D0B" w:rsidRDefault="00853D0B" w:rsidP="0093268B">
      <w:pPr>
        <w:spacing w:after="120"/>
        <w:jc w:val="center"/>
        <w:rPr>
          <w:b/>
          <w:sz w:val="28"/>
        </w:rPr>
      </w:pPr>
    </w:p>
    <w:p w14:paraId="6E64B1D4" w14:textId="665DFBE8" w:rsidR="007255E6" w:rsidRPr="00CE18EF" w:rsidRDefault="007255E6" w:rsidP="0093268B">
      <w:pPr>
        <w:spacing w:after="120"/>
        <w:jc w:val="center"/>
        <w:rPr>
          <w:b/>
          <w:sz w:val="28"/>
        </w:rPr>
      </w:pPr>
      <w:r w:rsidRPr="00CE18EF">
        <w:rPr>
          <w:b/>
          <w:sz w:val="28"/>
        </w:rPr>
        <w:t xml:space="preserve">Fees and Policies </w:t>
      </w:r>
      <w:r w:rsidR="008B29CA" w:rsidRPr="00CE18EF">
        <w:rPr>
          <w:b/>
          <w:sz w:val="28"/>
        </w:rPr>
        <w:t>for</w:t>
      </w:r>
      <w:r w:rsidRPr="00CE18EF">
        <w:rPr>
          <w:b/>
          <w:sz w:val="28"/>
        </w:rPr>
        <w:t xml:space="preserve"> Consultation</w:t>
      </w:r>
    </w:p>
    <w:p w14:paraId="28070375" w14:textId="77777777" w:rsidR="00926148" w:rsidRPr="00CE18EF" w:rsidRDefault="00EC58DD" w:rsidP="007255E6">
      <w:pPr>
        <w:spacing w:after="120"/>
        <w:rPr>
          <w:b/>
          <w:sz w:val="24"/>
        </w:rPr>
      </w:pPr>
      <w:bookmarkStart w:id="0" w:name="_GoBack"/>
      <w:r>
        <w:rPr>
          <w:b/>
          <w:sz w:val="24"/>
        </w:rPr>
        <w:t>Chronic C</w:t>
      </w:r>
      <w:r w:rsidR="00926148" w:rsidRPr="00CE18EF">
        <w:rPr>
          <w:b/>
          <w:sz w:val="24"/>
        </w:rPr>
        <w:t xml:space="preserve">are: </w:t>
      </w:r>
    </w:p>
    <w:bookmarkEnd w:id="0"/>
    <w:p w14:paraId="301C79A5" w14:textId="77777777" w:rsidR="00926148" w:rsidRPr="002005D4" w:rsidRDefault="007255E6" w:rsidP="007255E6">
      <w:pPr>
        <w:spacing w:after="120"/>
        <w:rPr>
          <w:b/>
          <w:i/>
        </w:rPr>
      </w:pPr>
      <w:r w:rsidRPr="002005D4">
        <w:rPr>
          <w:b/>
          <w:i/>
        </w:rPr>
        <w:t xml:space="preserve">Initial consultation (1-3 hours) $350 </w:t>
      </w:r>
    </w:p>
    <w:p w14:paraId="4F73761F" w14:textId="77777777" w:rsidR="00CE18EF" w:rsidRDefault="00926148" w:rsidP="007255E6">
      <w:pPr>
        <w:spacing w:after="120"/>
      </w:pPr>
      <w:r>
        <w:t>The initial consultation includes a review</w:t>
      </w:r>
      <w:r w:rsidR="00811165">
        <w:t xml:space="preserve"> and analysis</w:t>
      </w:r>
      <w:r>
        <w:t xml:space="preserve"> of the completed questionnaire and all case related documents</w:t>
      </w:r>
      <w:r w:rsidR="00811165">
        <w:t>,</w:t>
      </w:r>
      <w:r>
        <w:t xml:space="preserve"> such as biological test results, vaccination records</w:t>
      </w:r>
      <w:r w:rsidR="00811165">
        <w:t>,</w:t>
      </w:r>
      <w:r>
        <w:t xml:space="preserve"> </w:t>
      </w:r>
      <w:r w:rsidR="00F06CDE">
        <w:t>and other physical or psychological evaluations</w:t>
      </w:r>
      <w:r>
        <w:t xml:space="preserve">. </w:t>
      </w:r>
    </w:p>
    <w:p w14:paraId="1B877288" w14:textId="55B952A5" w:rsidR="00AB7FBE" w:rsidRPr="007255E6" w:rsidRDefault="00F06CDE" w:rsidP="00AB7FBE">
      <w:pPr>
        <w:spacing w:after="120"/>
      </w:pPr>
      <w:r>
        <w:t>H</w:t>
      </w:r>
      <w:r w:rsidR="008D2664">
        <w:t xml:space="preserve">omeopathic </w:t>
      </w:r>
      <w:r w:rsidR="00811165">
        <w:t xml:space="preserve">dry </w:t>
      </w:r>
      <w:r w:rsidR="008D2664">
        <w:t xml:space="preserve">remedies </w:t>
      </w:r>
      <w:r w:rsidR="00811165">
        <w:t>are</w:t>
      </w:r>
      <w:r w:rsidR="00AB7FBE">
        <w:t xml:space="preserve"> provided by </w:t>
      </w:r>
      <w:r>
        <w:t xml:space="preserve">practitioner </w:t>
      </w:r>
      <w:r w:rsidR="002005D4">
        <w:t>according</w:t>
      </w:r>
      <w:r>
        <w:t xml:space="preserve"> to</w:t>
      </w:r>
      <w:r w:rsidR="003A3FDD">
        <w:t xml:space="preserve"> clinic</w:t>
      </w:r>
      <w:r>
        <w:t xml:space="preserve"> inventory</w:t>
      </w:r>
      <w:r w:rsidR="002005D4">
        <w:t xml:space="preserve"> availability</w:t>
      </w:r>
      <w:r>
        <w:t>.</w:t>
      </w:r>
      <w:r w:rsidR="00AB7FBE">
        <w:t xml:space="preserve"> </w:t>
      </w:r>
      <w:r w:rsidR="002005D4">
        <w:t xml:space="preserve">Additional </w:t>
      </w:r>
      <w:r w:rsidR="008D2664">
        <w:t>supplements, herbs, mother tinctures, cell salts, and flower essen</w:t>
      </w:r>
      <w:r w:rsidR="00AB7FBE">
        <w:t>ces</w:t>
      </w:r>
      <w:r>
        <w:t xml:space="preserve"> are not provided by the practitioner and</w:t>
      </w:r>
      <w:r w:rsidR="00AB7FBE">
        <w:t xml:space="preserve"> </w:t>
      </w:r>
      <w:r w:rsidR="00AB7FBE" w:rsidRPr="007255E6">
        <w:t>can be obtained independently by the</w:t>
      </w:r>
      <w:r w:rsidR="00CE18EF">
        <w:t xml:space="preserve"> c</w:t>
      </w:r>
      <w:r w:rsidR="00AB7FBE">
        <w:t>lient</w:t>
      </w:r>
      <w:r w:rsidR="00811165">
        <w:t xml:space="preserve"> </w:t>
      </w:r>
      <w:r w:rsidR="00AB7FBE">
        <w:t>from health food stores</w:t>
      </w:r>
      <w:r w:rsidR="002005D4">
        <w:t xml:space="preserve"> and online websites.</w:t>
      </w:r>
    </w:p>
    <w:p w14:paraId="36419B22" w14:textId="77777777" w:rsidR="002005D4" w:rsidRDefault="002005D4" w:rsidP="002005D4">
      <w:pPr>
        <w:spacing w:after="120"/>
      </w:pPr>
      <w:r>
        <w:t xml:space="preserve">Acute consultations are included with chronic care. Clients are advised to have a 50-remedy emergency kit on hand. </w:t>
      </w:r>
    </w:p>
    <w:p w14:paraId="0DE92505" w14:textId="77777777" w:rsidR="008D2664" w:rsidRPr="002005D4" w:rsidRDefault="007255E6" w:rsidP="007255E6">
      <w:pPr>
        <w:spacing w:after="120"/>
        <w:rPr>
          <w:b/>
          <w:i/>
        </w:rPr>
      </w:pPr>
      <w:r w:rsidRPr="002005D4">
        <w:rPr>
          <w:b/>
          <w:i/>
        </w:rPr>
        <w:t>Follow up consultation (30-90 minutes) $150</w:t>
      </w:r>
    </w:p>
    <w:p w14:paraId="183D6276" w14:textId="5D7EB878" w:rsidR="002005D4" w:rsidRDefault="008D2664" w:rsidP="007255E6">
      <w:pPr>
        <w:spacing w:after="120"/>
        <w:rPr>
          <w:b/>
          <w:sz w:val="24"/>
        </w:rPr>
      </w:pPr>
      <w:r w:rsidRPr="008D2664">
        <w:t>Conducted once a month</w:t>
      </w:r>
      <w:r>
        <w:rPr>
          <w:b/>
        </w:rPr>
        <w:t xml:space="preserve"> </w:t>
      </w:r>
      <w:r w:rsidR="00735A07">
        <w:t>after the initial consultation, but can be less frequent.</w:t>
      </w:r>
    </w:p>
    <w:p w14:paraId="05F6FD52" w14:textId="77777777" w:rsidR="00EC58DD" w:rsidRPr="00EC58DD" w:rsidRDefault="00926148" w:rsidP="007255E6">
      <w:pPr>
        <w:spacing w:after="120"/>
        <w:rPr>
          <w:b/>
          <w:sz w:val="24"/>
        </w:rPr>
      </w:pPr>
      <w:r w:rsidRPr="00EC58DD">
        <w:rPr>
          <w:b/>
          <w:sz w:val="24"/>
        </w:rPr>
        <w:t>Acute</w:t>
      </w:r>
      <w:r w:rsidR="007255E6" w:rsidRPr="00EC58DD">
        <w:rPr>
          <w:b/>
          <w:sz w:val="24"/>
        </w:rPr>
        <w:t xml:space="preserve"> </w:t>
      </w:r>
      <w:r w:rsidR="00EC58DD" w:rsidRPr="00EC58DD">
        <w:rPr>
          <w:b/>
          <w:sz w:val="24"/>
        </w:rPr>
        <w:t>Care:</w:t>
      </w:r>
    </w:p>
    <w:p w14:paraId="6F60EBF5" w14:textId="77777777" w:rsidR="007255E6" w:rsidRPr="002005D4" w:rsidRDefault="002005D4" w:rsidP="007255E6">
      <w:pPr>
        <w:spacing w:after="120"/>
        <w:rPr>
          <w:b/>
          <w:i/>
        </w:rPr>
      </w:pPr>
      <w:r>
        <w:rPr>
          <w:b/>
          <w:i/>
        </w:rPr>
        <w:t>Acute c</w:t>
      </w:r>
      <w:r w:rsidR="007255E6" w:rsidRPr="002005D4">
        <w:rPr>
          <w:b/>
          <w:i/>
        </w:rPr>
        <w:t>onsult</w:t>
      </w:r>
      <w:r w:rsidR="00926148" w:rsidRPr="002005D4">
        <w:rPr>
          <w:b/>
          <w:i/>
        </w:rPr>
        <w:t xml:space="preserve">ation </w:t>
      </w:r>
      <w:r w:rsidR="008D2664" w:rsidRPr="002005D4">
        <w:rPr>
          <w:b/>
          <w:i/>
        </w:rPr>
        <w:t>$ 75</w:t>
      </w:r>
    </w:p>
    <w:p w14:paraId="7449068B" w14:textId="763F0165" w:rsidR="00F06CDE" w:rsidRDefault="00735A07" w:rsidP="007255E6">
      <w:pPr>
        <w:spacing w:after="120"/>
      </w:pPr>
      <w:r>
        <w:t>A</w:t>
      </w:r>
      <w:r w:rsidR="009029B4">
        <w:t>c</w:t>
      </w:r>
      <w:r>
        <w:t xml:space="preserve">ute care is included </w:t>
      </w:r>
      <w:r w:rsidR="009029B4">
        <w:t>for</w:t>
      </w:r>
      <w:r>
        <w:t xml:space="preserve"> client</w:t>
      </w:r>
      <w:r w:rsidR="009029B4">
        <w:t>s</w:t>
      </w:r>
      <w:r>
        <w:t xml:space="preserve"> on chronic care</w:t>
      </w:r>
      <w:r w:rsidR="009029B4">
        <w:t>,</w:t>
      </w:r>
      <w:r>
        <w:t xml:space="preserve"> </w:t>
      </w:r>
      <w:r w:rsidR="009029B4">
        <w:t>if they have</w:t>
      </w:r>
      <w:r>
        <w:t xml:space="preserve"> a scheduled follow up. </w:t>
      </w:r>
      <w:r w:rsidR="00330D02">
        <w:t xml:space="preserve">For </w:t>
      </w:r>
      <w:r w:rsidR="00EC58DD">
        <w:t xml:space="preserve">minor, </w:t>
      </w:r>
      <w:r w:rsidR="00F74D5A">
        <w:t>non-</w:t>
      </w:r>
      <w:proofErr w:type="gramStart"/>
      <w:r>
        <w:t xml:space="preserve">life </w:t>
      </w:r>
      <w:r w:rsidR="00926148">
        <w:t>threatening</w:t>
      </w:r>
      <w:proofErr w:type="gramEnd"/>
      <w:r w:rsidR="00926148">
        <w:t xml:space="preserve"> illnesses</w:t>
      </w:r>
      <w:r w:rsidR="00EC58DD">
        <w:t xml:space="preserve"> or </w:t>
      </w:r>
      <w:r w:rsidR="00F06CDE">
        <w:t>injuries</w:t>
      </w:r>
      <w:r w:rsidR="00926148">
        <w:t xml:space="preserve"> such as </w:t>
      </w:r>
      <w:r w:rsidR="00811165">
        <w:t xml:space="preserve">coughs, </w:t>
      </w:r>
      <w:r w:rsidR="002005D4">
        <w:t xml:space="preserve">colds, </w:t>
      </w:r>
      <w:r w:rsidR="00926148">
        <w:t xml:space="preserve">flu, </w:t>
      </w:r>
      <w:r w:rsidR="008D2664">
        <w:t xml:space="preserve">earaches, </w:t>
      </w:r>
      <w:r w:rsidR="00926148">
        <w:t xml:space="preserve">stomach upsets, </w:t>
      </w:r>
      <w:r w:rsidR="00EC58DD">
        <w:t>accidents</w:t>
      </w:r>
      <w:r w:rsidR="008D2664">
        <w:t xml:space="preserve"> and sports injuries.</w:t>
      </w:r>
      <w:r w:rsidR="00115A9E">
        <w:t xml:space="preserve"> </w:t>
      </w:r>
    </w:p>
    <w:p w14:paraId="308CFC1B" w14:textId="2E08CB20" w:rsidR="00F06CDE" w:rsidRDefault="00F06CDE" w:rsidP="007255E6">
      <w:pPr>
        <w:spacing w:after="120"/>
      </w:pPr>
      <w:r>
        <w:t>Includes a brief consultation and 7 days of follow-ups.</w:t>
      </w:r>
    </w:p>
    <w:p w14:paraId="226554E2" w14:textId="6A256D02" w:rsidR="00F74D5A" w:rsidRDefault="00F74D5A" w:rsidP="007255E6">
      <w:pPr>
        <w:spacing w:after="120"/>
      </w:pPr>
      <w:r>
        <w:t>$50 for each additional week of acute consultation.</w:t>
      </w:r>
    </w:p>
    <w:p w14:paraId="14FAB48B" w14:textId="53E597C0" w:rsidR="00853D0B" w:rsidRDefault="00F06CDE" w:rsidP="00853D0B">
      <w:pPr>
        <w:spacing w:after="120"/>
      </w:pPr>
      <w:r>
        <w:t>Clients are advised to have a 50-remedy</w:t>
      </w:r>
      <w:r w:rsidR="002005D4">
        <w:t xml:space="preserve"> emergency</w:t>
      </w:r>
      <w:r>
        <w:t xml:space="preserve"> kit on hand. </w:t>
      </w:r>
    </w:p>
    <w:p w14:paraId="29FB93D7" w14:textId="77777777" w:rsidR="001A222E" w:rsidRPr="001A222E" w:rsidRDefault="001A222E" w:rsidP="00853D0B">
      <w:pPr>
        <w:spacing w:after="120"/>
      </w:pPr>
    </w:p>
    <w:p w14:paraId="5C9DF924" w14:textId="70ED0153" w:rsidR="007255E6" w:rsidRPr="00EC58DD" w:rsidRDefault="007255E6" w:rsidP="00853D0B">
      <w:pPr>
        <w:spacing w:after="120"/>
        <w:rPr>
          <w:b/>
          <w:sz w:val="24"/>
        </w:rPr>
      </w:pPr>
      <w:r w:rsidRPr="00EC58DD">
        <w:rPr>
          <w:b/>
          <w:sz w:val="24"/>
        </w:rPr>
        <w:t>General Policies Regardin</w:t>
      </w:r>
      <w:r w:rsidR="00EC58DD">
        <w:rPr>
          <w:b/>
          <w:sz w:val="24"/>
        </w:rPr>
        <w:t>g Fees, Payment, and Scheduling</w:t>
      </w:r>
      <w:r w:rsidR="00853D0B">
        <w:rPr>
          <w:b/>
          <w:sz w:val="24"/>
        </w:rPr>
        <w:t>:</w:t>
      </w:r>
    </w:p>
    <w:p w14:paraId="336BCF91" w14:textId="3E900D09" w:rsidR="007255E6" w:rsidRPr="007255E6" w:rsidRDefault="004226A5" w:rsidP="007255E6">
      <w:pPr>
        <w:spacing w:after="120"/>
      </w:pPr>
      <w:r w:rsidRPr="00FA08FF">
        <w:rPr>
          <w:i/>
        </w:rPr>
        <w:t>Payment</w:t>
      </w:r>
      <w:r>
        <w:t>:</w:t>
      </w:r>
      <w:r w:rsidR="007255E6" w:rsidRPr="007255E6">
        <w:t xml:space="preserve"> Clients are</w:t>
      </w:r>
      <w:r>
        <w:t xml:space="preserve"> </w:t>
      </w:r>
      <w:r w:rsidR="007255E6" w:rsidRPr="007255E6">
        <w:t>asked to keep a credit ca</w:t>
      </w:r>
      <w:r>
        <w:t>rd on file</w:t>
      </w:r>
      <w:r w:rsidR="00CE18EF">
        <w:t xml:space="preserve"> with the </w:t>
      </w:r>
      <w:r w:rsidR="002005D4">
        <w:t>practitioner</w:t>
      </w:r>
      <w:r>
        <w:t xml:space="preserve"> </w:t>
      </w:r>
      <w:r w:rsidR="007255E6" w:rsidRPr="007255E6">
        <w:t>to simplify payment</w:t>
      </w:r>
      <w:r w:rsidR="00AC1CB7">
        <w:t xml:space="preserve"> for chronic care</w:t>
      </w:r>
      <w:r>
        <w:t xml:space="preserve">. Charges for </w:t>
      </w:r>
      <w:r w:rsidR="002C458B">
        <w:t>chronic</w:t>
      </w:r>
      <w:r w:rsidR="002005D4">
        <w:t xml:space="preserve"> care</w:t>
      </w:r>
      <w:r w:rsidR="002C458B">
        <w:t xml:space="preserve"> </w:t>
      </w:r>
      <w:r>
        <w:t xml:space="preserve">follow-up consultations are </w:t>
      </w:r>
      <w:r w:rsidR="00CE18EF">
        <w:t>made</w:t>
      </w:r>
      <w:r>
        <w:t xml:space="preserve"> at the beginning of each month for that month. </w:t>
      </w:r>
      <w:r w:rsidR="00AA1055">
        <w:t xml:space="preserve">No charges </w:t>
      </w:r>
      <w:r w:rsidR="00771B44">
        <w:t>will be</w:t>
      </w:r>
      <w:r w:rsidR="00AA1055">
        <w:t xml:space="preserve"> made for months</w:t>
      </w:r>
      <w:r w:rsidR="00771B44">
        <w:t xml:space="preserve"> where</w:t>
      </w:r>
      <w:r w:rsidR="00AA1055">
        <w:t xml:space="preserve"> there is no consultation </w:t>
      </w:r>
      <w:r w:rsidR="00771B44">
        <w:t>scheduled;</w:t>
      </w:r>
      <w:r w:rsidR="00AA1055">
        <w:t xml:space="preserve"> however</w:t>
      </w:r>
      <w:r w:rsidR="009774CF">
        <w:t>,</w:t>
      </w:r>
      <w:r w:rsidR="00AA1055">
        <w:t xml:space="preserve"> c</w:t>
      </w:r>
      <w:r w:rsidR="002C458B">
        <w:t xml:space="preserve">harges </w:t>
      </w:r>
      <w:r w:rsidR="00AA1055">
        <w:t xml:space="preserve">will </w:t>
      </w:r>
      <w:r w:rsidR="00771B44">
        <w:t>be applied</w:t>
      </w:r>
      <w:r w:rsidR="002005D4">
        <w:t xml:space="preserve"> if </w:t>
      </w:r>
      <w:r w:rsidR="00AA1055">
        <w:t xml:space="preserve">phone </w:t>
      </w:r>
      <w:r w:rsidR="00652F29">
        <w:t xml:space="preserve">calls </w:t>
      </w:r>
      <w:r w:rsidR="00AA1055">
        <w:t>or email</w:t>
      </w:r>
      <w:r w:rsidR="00652F29">
        <w:t>s</w:t>
      </w:r>
      <w:r w:rsidR="00AA1055">
        <w:t xml:space="preserve"> </w:t>
      </w:r>
      <w:r w:rsidR="00652F29">
        <w:t xml:space="preserve">concerning chronic care issues </w:t>
      </w:r>
      <w:r w:rsidR="002C458B">
        <w:t>take</w:t>
      </w:r>
      <w:r w:rsidR="00714A46">
        <w:t>s</w:t>
      </w:r>
      <w:r w:rsidR="00AA1055">
        <w:t xml:space="preserve"> place during </w:t>
      </w:r>
      <w:r w:rsidR="00652F29">
        <w:t>months that no chronic care consultations are scheduled</w:t>
      </w:r>
      <w:r>
        <w:t>.</w:t>
      </w:r>
      <w:r w:rsidR="00AB7FBE">
        <w:t xml:space="preserve"> </w:t>
      </w:r>
      <w:r w:rsidR="00756B73">
        <w:t>C</w:t>
      </w:r>
      <w:r w:rsidR="0030308A">
        <w:t xml:space="preserve">lients may </w:t>
      </w:r>
      <w:r w:rsidR="00756B73">
        <w:t>opt to have</w:t>
      </w:r>
      <w:r w:rsidR="0030308A">
        <w:t xml:space="preserve"> an acute consultation during non-chronic care months</w:t>
      </w:r>
      <w:r w:rsidR="00756B73">
        <w:t xml:space="preserve"> for simple, self-limiting illnesses such as colds or flus</w:t>
      </w:r>
      <w:r w:rsidR="0030308A">
        <w:t xml:space="preserve">. </w:t>
      </w:r>
      <w:r w:rsidR="00CE18EF">
        <w:t>C</w:t>
      </w:r>
      <w:r w:rsidR="00AB7FBE">
        <w:t>lient</w:t>
      </w:r>
      <w:r w:rsidR="002C458B">
        <w:t>s</w:t>
      </w:r>
      <w:r w:rsidR="00AB7FBE">
        <w:t xml:space="preserve"> </w:t>
      </w:r>
      <w:r w:rsidR="00CE18EF">
        <w:t>are</w:t>
      </w:r>
      <w:r w:rsidR="00AB7FBE">
        <w:t xml:space="preserve"> free to discontinue treatment at any time</w:t>
      </w:r>
      <w:r w:rsidR="00165A3B">
        <w:t xml:space="preserve"> and a</w:t>
      </w:r>
      <w:r w:rsidR="00756B73">
        <w:t xml:space="preserve"> full refund will be made </w:t>
      </w:r>
      <w:r w:rsidR="00771B44">
        <w:t>if no communication</w:t>
      </w:r>
      <w:r w:rsidR="0030308A">
        <w:t xml:space="preserve"> has</w:t>
      </w:r>
      <w:r w:rsidR="00771B44">
        <w:t xml:space="preserve"> </w:t>
      </w:r>
      <w:r w:rsidR="0030308A">
        <w:t>transpired</w:t>
      </w:r>
      <w:r w:rsidR="00756B73">
        <w:t xml:space="preserve"> during the month of cancellation</w:t>
      </w:r>
      <w:r w:rsidR="00AB7FBE">
        <w:t xml:space="preserve">.  </w:t>
      </w:r>
    </w:p>
    <w:p w14:paraId="4F58BC45" w14:textId="62216B4F" w:rsidR="00853D0B" w:rsidRPr="000D40C4" w:rsidRDefault="007255E6" w:rsidP="004E7A56">
      <w:pPr>
        <w:spacing w:after="120"/>
      </w:pPr>
      <w:r w:rsidRPr="00FA08FF">
        <w:rPr>
          <w:i/>
        </w:rPr>
        <w:t>Insurance</w:t>
      </w:r>
      <w:r w:rsidR="00FA08FF">
        <w:t>:</w:t>
      </w:r>
      <w:r w:rsidRPr="007255E6">
        <w:t xml:space="preserve"> </w:t>
      </w:r>
      <w:r w:rsidR="002C458B">
        <w:t>A</w:t>
      </w:r>
      <w:r w:rsidRPr="007255E6">
        <w:t xml:space="preserve">ccount statements </w:t>
      </w:r>
      <w:r w:rsidR="002C458B">
        <w:t>will be provided for</w:t>
      </w:r>
      <w:r w:rsidRPr="007255E6">
        <w:t xml:space="preserve"> clients </w:t>
      </w:r>
      <w:r w:rsidR="002C458B">
        <w:t xml:space="preserve">who wish to </w:t>
      </w:r>
      <w:r w:rsidRPr="007255E6">
        <w:t>submit to their insurance</w:t>
      </w:r>
      <w:r w:rsidR="004226A5">
        <w:t xml:space="preserve"> </w:t>
      </w:r>
      <w:r w:rsidRPr="007255E6">
        <w:t>companies or FSA/HSA managers for reimbursement. This office does not file any forms for insurance or</w:t>
      </w:r>
      <w:r w:rsidR="004226A5">
        <w:t xml:space="preserve"> </w:t>
      </w:r>
      <w:r w:rsidRPr="007255E6">
        <w:t>reimbursement. Clients are encouraged to investigate all options for in</w:t>
      </w:r>
      <w:r w:rsidR="001A0645">
        <w:t xml:space="preserve">surance reimbursement or use of </w:t>
      </w:r>
      <w:r w:rsidRPr="007255E6">
        <w:lastRenderedPageBreak/>
        <w:t>plans</w:t>
      </w:r>
      <w:r w:rsidR="004226A5">
        <w:t xml:space="preserve"> </w:t>
      </w:r>
      <w:r w:rsidRPr="007255E6">
        <w:t>such as Flexible Spending Accounts (FSA) and Health Savings Accounts (HSA), which allow reimbursement of</w:t>
      </w:r>
      <w:r w:rsidR="004226A5">
        <w:t xml:space="preserve"> </w:t>
      </w:r>
      <w:r w:rsidRPr="007255E6">
        <w:t xml:space="preserve">payment with pre-tax funds. </w:t>
      </w:r>
    </w:p>
    <w:p w14:paraId="0B87F204" w14:textId="2C0AC092" w:rsidR="002005D4" w:rsidRPr="009C076A" w:rsidRDefault="007255E6" w:rsidP="004E7A56">
      <w:pPr>
        <w:spacing w:after="120"/>
      </w:pPr>
      <w:r w:rsidRPr="00FA08FF">
        <w:rPr>
          <w:i/>
        </w:rPr>
        <w:t>Cancellations</w:t>
      </w:r>
      <w:r w:rsidRPr="007255E6">
        <w:t>:</w:t>
      </w:r>
      <w:r w:rsidR="00CE18EF">
        <w:t xml:space="preserve"> If it is necessary to cancel or </w:t>
      </w:r>
      <w:r w:rsidRPr="007255E6">
        <w:t xml:space="preserve">reschedule an appointment, </w:t>
      </w:r>
      <w:r w:rsidR="002C458B">
        <w:t>an advance notification of</w:t>
      </w:r>
      <w:r w:rsidRPr="007255E6">
        <w:t xml:space="preserve"> at least 24 </w:t>
      </w:r>
      <w:r w:rsidR="002C458B">
        <w:t>hours is requested;</w:t>
      </w:r>
      <w:r w:rsidRPr="007255E6">
        <w:t xml:space="preserve"> appointments that are missed </w:t>
      </w:r>
      <w:r w:rsidR="004E7A56">
        <w:t xml:space="preserve">without notice being given </w:t>
      </w:r>
      <w:r w:rsidR="00CE18EF">
        <w:t xml:space="preserve">represent time </w:t>
      </w:r>
      <w:r w:rsidRPr="007255E6">
        <w:t>that was</w:t>
      </w:r>
      <w:r w:rsidR="004226A5">
        <w:t xml:space="preserve"> </w:t>
      </w:r>
      <w:r w:rsidR="000D40C4">
        <w:t>scheduled for the client</w:t>
      </w:r>
      <w:r w:rsidRPr="007255E6">
        <w:t xml:space="preserve"> and will be charged the full fee.</w:t>
      </w:r>
    </w:p>
    <w:p w14:paraId="795C2DB6" w14:textId="431ECF27" w:rsidR="004E7A56" w:rsidRDefault="00FA08FF" w:rsidP="004E7A56">
      <w:pPr>
        <w:spacing w:after="120"/>
      </w:pPr>
      <w:r>
        <w:rPr>
          <w:i/>
        </w:rPr>
        <w:t xml:space="preserve">Calls and </w:t>
      </w:r>
      <w:r w:rsidR="007255E6" w:rsidRPr="00FA08FF">
        <w:rPr>
          <w:i/>
        </w:rPr>
        <w:t>Email</w:t>
      </w:r>
      <w:r w:rsidR="00422E14">
        <w:t xml:space="preserve">: Clients can </w:t>
      </w:r>
      <w:r w:rsidR="00150586">
        <w:t>email or</w:t>
      </w:r>
      <w:r w:rsidR="00771B44">
        <w:t xml:space="preserve"> call at will. </w:t>
      </w:r>
      <w:r w:rsidR="007255E6" w:rsidRPr="007255E6">
        <w:t xml:space="preserve">Calls </w:t>
      </w:r>
      <w:r>
        <w:t>are generally answered each day;</w:t>
      </w:r>
      <w:r w:rsidR="007255E6" w:rsidRPr="007255E6">
        <w:t xml:space="preserve"> ema</w:t>
      </w:r>
      <w:r>
        <w:t xml:space="preserve">ils are answered as time allows </w:t>
      </w:r>
      <w:r w:rsidR="007255E6" w:rsidRPr="007255E6">
        <w:t xml:space="preserve">which can be delayed during times of travel or high </w:t>
      </w:r>
      <w:r w:rsidR="00771B44">
        <w:t>email volume</w:t>
      </w:r>
      <w:r w:rsidR="007255E6" w:rsidRPr="007255E6">
        <w:t>. If there is any concern that</w:t>
      </w:r>
      <w:r>
        <w:t xml:space="preserve"> </w:t>
      </w:r>
      <w:r w:rsidR="007255E6" w:rsidRPr="007255E6">
        <w:t xml:space="preserve">requires prompt response, or you have not gotten a reply </w:t>
      </w:r>
      <w:r w:rsidR="000D40C4">
        <w:t>to</w:t>
      </w:r>
      <w:r w:rsidR="007255E6" w:rsidRPr="007255E6">
        <w:t xml:space="preserve"> an email in the timeframe you require,</w:t>
      </w:r>
      <w:r>
        <w:t xml:space="preserve"> </w:t>
      </w:r>
      <w:r w:rsidR="007255E6" w:rsidRPr="007255E6">
        <w:t>please call</w:t>
      </w:r>
      <w:r w:rsidR="000D40C4">
        <w:t xml:space="preserve"> the office at 650.952.3150</w:t>
      </w:r>
      <w:r w:rsidR="007255E6" w:rsidRPr="007255E6">
        <w:t>.</w:t>
      </w:r>
      <w:r w:rsidR="004E7A56">
        <w:t xml:space="preserve"> </w:t>
      </w:r>
      <w:r w:rsidR="002C458B" w:rsidRPr="007255E6">
        <w:t xml:space="preserve">The office is closed on weekends. </w:t>
      </w:r>
    </w:p>
    <w:p w14:paraId="605297B2" w14:textId="059E4FC8" w:rsidR="00AB7FBE" w:rsidRDefault="007255E6" w:rsidP="007255E6">
      <w:pPr>
        <w:spacing w:after="120"/>
      </w:pPr>
      <w:r w:rsidRPr="00FA08FF">
        <w:rPr>
          <w:i/>
        </w:rPr>
        <w:t>Off-Site Consultation</w:t>
      </w:r>
      <w:r w:rsidRPr="007255E6">
        <w:t>: C</w:t>
      </w:r>
      <w:r w:rsidR="000D40C4">
        <w:t>onsultations for c</w:t>
      </w:r>
      <w:r w:rsidRPr="007255E6">
        <w:t xml:space="preserve">lients who live outside of the San Francisco Bay area </w:t>
      </w:r>
      <w:r w:rsidR="000D40C4">
        <w:t>are</w:t>
      </w:r>
      <w:r w:rsidRPr="007255E6">
        <w:t xml:space="preserve"> </w:t>
      </w:r>
      <w:r w:rsidR="000D40C4">
        <w:t>conducted through by</w:t>
      </w:r>
      <w:r w:rsidR="00115A9E">
        <w:t xml:space="preserve"> web video conferencing</w:t>
      </w:r>
      <w:r w:rsidR="00422E14">
        <w:t>:</w:t>
      </w:r>
      <w:r w:rsidRPr="007255E6">
        <w:t xml:space="preserve"> </w:t>
      </w:r>
      <w:r w:rsidR="00FA08FF">
        <w:t>G</w:t>
      </w:r>
      <w:r w:rsidR="00422E14">
        <w:t>oToMeeting (HIPAA compliant for healthcare</w:t>
      </w:r>
      <w:r w:rsidR="00115A9E">
        <w:t xml:space="preserve"> privacy</w:t>
      </w:r>
      <w:r w:rsidR="00422E14">
        <w:t>)</w:t>
      </w:r>
      <w:r w:rsidR="00771B44">
        <w:t>, FaceTime,</w:t>
      </w:r>
      <w:r w:rsidR="00FA08FF">
        <w:t xml:space="preserve"> or Skype</w:t>
      </w:r>
      <w:r w:rsidRPr="007255E6">
        <w:t>.</w:t>
      </w:r>
    </w:p>
    <w:p w14:paraId="5B9263C0" w14:textId="77777777" w:rsidR="007255E6" w:rsidRPr="007255E6" w:rsidRDefault="00AB7FBE" w:rsidP="007255E6">
      <w:pPr>
        <w:spacing w:after="120"/>
      </w:pPr>
      <w:r w:rsidRPr="00AB7FBE">
        <w:rPr>
          <w:i/>
        </w:rPr>
        <w:t>Confidentiality</w:t>
      </w:r>
      <w:r>
        <w:t xml:space="preserve">: The information contained in all files, documents, email messages, and/or any documents accompanying the emails to and from the </w:t>
      </w:r>
      <w:r w:rsidR="00115A9E">
        <w:t>c</w:t>
      </w:r>
      <w:r>
        <w:t>lient are private and confidential. This communication is legally protected and intended for the person</w:t>
      </w:r>
      <w:r w:rsidR="00115A9E">
        <w:t>al and confidential use of the c</w:t>
      </w:r>
      <w:r>
        <w:t xml:space="preserve">lient and </w:t>
      </w:r>
      <w:r w:rsidR="00115A9E">
        <w:t>practitioner</w:t>
      </w:r>
      <w:r>
        <w:t xml:space="preserve"> only.</w:t>
      </w:r>
    </w:p>
    <w:sectPr w:rsidR="007255E6" w:rsidRPr="007255E6" w:rsidSect="009774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432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F0F6D" w14:textId="77777777" w:rsidR="00C81A57" w:rsidRDefault="00C81A57">
      <w:r>
        <w:separator/>
      </w:r>
    </w:p>
  </w:endnote>
  <w:endnote w:type="continuationSeparator" w:id="0">
    <w:p w14:paraId="08107FF3" w14:textId="77777777" w:rsidR="00C81A57" w:rsidRDefault="00C8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 Premr Pro Smbd It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64794063"/>
      <w:docPartObj>
        <w:docPartGallery w:val="Page Numbers (Bottom of Page)"/>
        <w:docPartUnique/>
      </w:docPartObj>
    </w:sdtPr>
    <w:sdtContent>
      <w:p w14:paraId="52ED6EAF" w14:textId="41B00BEA" w:rsidR="009774CF" w:rsidRDefault="009774CF" w:rsidP="000357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9A07F4" w14:textId="77777777" w:rsidR="009774CF" w:rsidRDefault="009774CF" w:rsidP="009774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66245178"/>
      <w:docPartObj>
        <w:docPartGallery w:val="Page Numbers (Bottom of Page)"/>
        <w:docPartUnique/>
      </w:docPartObj>
    </w:sdtPr>
    <w:sdtContent>
      <w:p w14:paraId="0CC81764" w14:textId="2E692F8F" w:rsidR="009774CF" w:rsidRDefault="009774CF" w:rsidP="000357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459E3E8" w14:textId="77777777" w:rsidR="006007A6" w:rsidRDefault="006007A6" w:rsidP="009774CF">
    <w:pPr>
      <w:pStyle w:val="Footer"/>
      <w:tabs>
        <w:tab w:val="clear" w:pos="864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2AB80" w14:textId="77777777" w:rsidR="009774CF" w:rsidRPr="00A105AC" w:rsidRDefault="009774CF" w:rsidP="009774CF">
    <w:pPr>
      <w:pStyle w:val="Footer"/>
      <w:tabs>
        <w:tab w:val="clear" w:pos="8640"/>
      </w:tabs>
      <w:ind w:left="-540" w:right="-360"/>
      <w:jc w:val="center"/>
      <w:rPr>
        <w:rFonts w:ascii="Lucida Bright" w:hAnsi="Lucida Bright"/>
        <w:i/>
        <w:color w:val="0D0D0D" w:themeColor="text1" w:themeTint="F2"/>
        <w:sz w:val="16"/>
      </w:rPr>
    </w:pPr>
    <w:r w:rsidRPr="00A105AC">
      <w:rPr>
        <w:rFonts w:ascii="Lucida Bright" w:hAnsi="Lucida Bright"/>
        <w:i/>
        <w:color w:val="0D0D0D" w:themeColor="text1" w:themeTint="F2"/>
        <w:spacing w:val="20"/>
        <w:sz w:val="16"/>
      </w:rPr>
      <w:t>1056 Sycamore Drive, Mi</w:t>
    </w:r>
    <w:r>
      <w:rPr>
        <w:rFonts w:ascii="Lucida Bright" w:hAnsi="Lucida Bright"/>
        <w:i/>
        <w:color w:val="0D0D0D" w:themeColor="text1" w:themeTint="F2"/>
        <w:spacing w:val="20"/>
        <w:sz w:val="16"/>
      </w:rPr>
      <w:t>llbrae CA 94030, p: 650.952-3150,</w:t>
    </w:r>
    <w:r w:rsidRPr="00A105AC">
      <w:rPr>
        <w:rFonts w:ascii="Lucida Bright" w:hAnsi="Lucida Bright"/>
        <w:i/>
        <w:color w:val="0D0D0D" w:themeColor="text1" w:themeTint="F2"/>
        <w:spacing w:val="20"/>
        <w:sz w:val="16"/>
      </w:rPr>
      <w:t xml:space="preserve"> </w:t>
    </w:r>
    <w:r>
      <w:rPr>
        <w:rFonts w:ascii="Lucida Bright" w:hAnsi="Lucida Bright"/>
        <w:i/>
        <w:color w:val="0D0D0D" w:themeColor="text1" w:themeTint="F2"/>
        <w:spacing w:val="20"/>
        <w:sz w:val="16"/>
      </w:rPr>
      <w:t>www.</w:t>
    </w:r>
    <w:r w:rsidRPr="00A105AC">
      <w:rPr>
        <w:rFonts w:ascii="Lucida Bright" w:hAnsi="Lucida Bright"/>
        <w:i/>
        <w:color w:val="0D0D0D" w:themeColor="text1" w:themeTint="F2"/>
        <w:spacing w:val="20"/>
        <w:sz w:val="16"/>
      </w:rPr>
      <w:t>millbraehpath.com</w:t>
    </w:r>
  </w:p>
  <w:p w14:paraId="30DCAF1F" w14:textId="77777777" w:rsidR="00656828" w:rsidRPr="009774CF" w:rsidRDefault="00656828" w:rsidP="00977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EC731" w14:textId="77777777" w:rsidR="00C81A57" w:rsidRDefault="00C81A57">
      <w:r>
        <w:separator/>
      </w:r>
    </w:p>
  </w:footnote>
  <w:footnote w:type="continuationSeparator" w:id="0">
    <w:p w14:paraId="101F33AC" w14:textId="77777777" w:rsidR="00C81A57" w:rsidRDefault="00C8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8F1A" w14:textId="04F37545" w:rsidR="006007A6" w:rsidRPr="0007599F" w:rsidRDefault="006007A6" w:rsidP="009774CF">
    <w:pPr>
      <w:pStyle w:val="Header"/>
      <w:tabs>
        <w:tab w:val="clear" w:pos="8640"/>
      </w:tabs>
      <w:ind w:left="-360"/>
      <w:jc w:val="right"/>
      <w:rPr>
        <w:rFonts w:ascii="Garamond Premr Pro Smbd It" w:hAnsi="Garamond Premr Pro Smbd 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6EA5E" w14:textId="44E4F3D1" w:rsidR="00656828" w:rsidRDefault="009774CF" w:rsidP="009774CF">
    <w:pPr>
      <w:pStyle w:val="Header"/>
      <w:jc w:val="right"/>
    </w:pPr>
    <w:r>
      <w:rPr>
        <w:rFonts w:ascii="Garamond Premr Pro Smbd It" w:hAnsi="Garamond Premr Pro Smbd It"/>
        <w:noProof/>
      </w:rPr>
      <w:drawing>
        <wp:inline distT="0" distB="0" distL="0" distR="0" wp14:anchorId="1E6A6E59" wp14:editId="74180281">
          <wp:extent cx="798787" cy="770284"/>
          <wp:effectExtent l="0" t="0" r="190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250" cy="79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5E6"/>
    <w:rsid w:val="00016803"/>
    <w:rsid w:val="0007599F"/>
    <w:rsid w:val="000935FC"/>
    <w:rsid w:val="000A54FA"/>
    <w:rsid w:val="000A5809"/>
    <w:rsid w:val="000D40C4"/>
    <w:rsid w:val="001076A9"/>
    <w:rsid w:val="00115A9E"/>
    <w:rsid w:val="0012352B"/>
    <w:rsid w:val="00150586"/>
    <w:rsid w:val="00160382"/>
    <w:rsid w:val="00165A3B"/>
    <w:rsid w:val="001A0645"/>
    <w:rsid w:val="001A222E"/>
    <w:rsid w:val="002005D4"/>
    <w:rsid w:val="0022233C"/>
    <w:rsid w:val="0026567A"/>
    <w:rsid w:val="00274467"/>
    <w:rsid w:val="002C3FD5"/>
    <w:rsid w:val="002C458B"/>
    <w:rsid w:val="002D10A1"/>
    <w:rsid w:val="0030308A"/>
    <w:rsid w:val="003137A8"/>
    <w:rsid w:val="00330D02"/>
    <w:rsid w:val="00356E95"/>
    <w:rsid w:val="003A3FDD"/>
    <w:rsid w:val="00404C36"/>
    <w:rsid w:val="004226A5"/>
    <w:rsid w:val="00422E14"/>
    <w:rsid w:val="0045006A"/>
    <w:rsid w:val="00474FCA"/>
    <w:rsid w:val="004E7A56"/>
    <w:rsid w:val="0050192F"/>
    <w:rsid w:val="005246B2"/>
    <w:rsid w:val="005953F1"/>
    <w:rsid w:val="005A2387"/>
    <w:rsid w:val="005E61B0"/>
    <w:rsid w:val="006007A6"/>
    <w:rsid w:val="0062308A"/>
    <w:rsid w:val="00652F29"/>
    <w:rsid w:val="00655DB6"/>
    <w:rsid w:val="00656828"/>
    <w:rsid w:val="00660438"/>
    <w:rsid w:val="00670A88"/>
    <w:rsid w:val="0067458B"/>
    <w:rsid w:val="006C369D"/>
    <w:rsid w:val="006F6EDB"/>
    <w:rsid w:val="00711D45"/>
    <w:rsid w:val="00714A46"/>
    <w:rsid w:val="007255E6"/>
    <w:rsid w:val="00735A07"/>
    <w:rsid w:val="00756B73"/>
    <w:rsid w:val="00771B44"/>
    <w:rsid w:val="00772CC5"/>
    <w:rsid w:val="00811165"/>
    <w:rsid w:val="00816C78"/>
    <w:rsid w:val="00853D0B"/>
    <w:rsid w:val="008626CE"/>
    <w:rsid w:val="0086514F"/>
    <w:rsid w:val="00886FC3"/>
    <w:rsid w:val="008B29CA"/>
    <w:rsid w:val="008C2879"/>
    <w:rsid w:val="008D2664"/>
    <w:rsid w:val="009029B4"/>
    <w:rsid w:val="00926148"/>
    <w:rsid w:val="0093268B"/>
    <w:rsid w:val="009774CF"/>
    <w:rsid w:val="009A5ED9"/>
    <w:rsid w:val="009C076A"/>
    <w:rsid w:val="00A105AC"/>
    <w:rsid w:val="00A35C56"/>
    <w:rsid w:val="00AA1055"/>
    <w:rsid w:val="00AB681C"/>
    <w:rsid w:val="00AB7FBE"/>
    <w:rsid w:val="00AC1CB7"/>
    <w:rsid w:val="00AD2C37"/>
    <w:rsid w:val="00AE2FFD"/>
    <w:rsid w:val="00B06E9C"/>
    <w:rsid w:val="00B3329A"/>
    <w:rsid w:val="00B57A74"/>
    <w:rsid w:val="00B770AB"/>
    <w:rsid w:val="00BF4E98"/>
    <w:rsid w:val="00C5457D"/>
    <w:rsid w:val="00C81A57"/>
    <w:rsid w:val="00CE18EF"/>
    <w:rsid w:val="00D674BD"/>
    <w:rsid w:val="00EC58DD"/>
    <w:rsid w:val="00EE3D5E"/>
    <w:rsid w:val="00F06CDE"/>
    <w:rsid w:val="00F63CFF"/>
    <w:rsid w:val="00F74D5A"/>
    <w:rsid w:val="00FA0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D77C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25F5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6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6CE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626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6CE"/>
    <w:rPr>
      <w:rFonts w:asciiTheme="majorHAnsi" w:hAnsiTheme="maj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E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7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D0C2-AC40-3B40-B503-1A8000B6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Millbrae Homeopathic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cp:lastModifiedBy>Gail Wilson</cp:lastModifiedBy>
  <cp:revision>53</cp:revision>
  <dcterms:created xsi:type="dcterms:W3CDTF">2014-11-23T03:00:00Z</dcterms:created>
  <dcterms:modified xsi:type="dcterms:W3CDTF">2018-02-01T05:32:00Z</dcterms:modified>
</cp:coreProperties>
</file>